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Validation du moteur de calcul</w:t>
      </w:r>
    </w:p>
    <w:p>
      <w:pPr>
        <w:spacing w:after="180"/>
      </w:pPr>
      <w:r>
        <w:rPr>
          <w:i/>
          <w:iCs/>
          <w:color w:val="64748B"/>
          <w:sz w:val="20"/>
          <w:szCs w:val="20"/>
        </w:rPr>
        <w:t xml:space="preserve">Outil de dosimétrie électromagnétique — Hakeim Talleb — Juin 2026</w:t>
      </w:r>
    </w:p>
    <w:p>
      <w:pPr>
        <w:pStyle w:val="Heading1"/>
      </w:pPr>
      <w:r>
        <w:t xml:space="preserve">1. Démarche</w:t>
      </w:r>
    </w:p>
    <w:p>
      <w:pPr>
        <w:spacing w:after="120"/>
        <w:jc w:val="both"/>
      </w:pPr>
      <w:r>
        <w:t xml:space="preserve">Le moteur électromagnétique de l’outil (méthode des matrices de transfert, TMM) est confronté à la </w:t>
      </w:r>
      <w:r>
        <w:rPr>
          <w:b/>
          <w:bCs/>
        </w:rPr>
        <w:t xml:space="preserve">solution analytique exacte</w:t>
      </w:r>
      <w:r>
        <w:t xml:space="preserve"> du problème d’onde plane en incidence normale sur des milieux à pertes : réflexion de Fresnel et propagation en milieu dissipatif. Pour une monocouche semi-infinie, ces grandeurs ont une forme close, sans ambiguïté de modèle. C’est précisément le socle analytique contre lequel les codes FDTD/FEM sont eux-mêmes validés en géométrie planaire.</w:t>
      </w:r>
    </w:p>
    <w:p>
      <w:pPr>
        <w:spacing w:after="120"/>
        <w:jc w:val="both"/>
      </w:pPr>
      <w:r>
        <w:t xml:space="preserve">La permittivité complexe provient du modèle Cole-Cole IT’IS V5.0 de l’outil (matériau identique des deux côtés : on valide la </w:t>
      </w:r>
      <w:r>
        <w:rPr>
          <w:b/>
          <w:bCs/>
        </w:rPr>
        <w:t xml:space="preserve">physique d’onde</w:t>
      </w:r>
      <w:r>
        <w:t xml:space="preserve">, pas la base de données). Convention de champ RMS, cohérente avec les niveaux ICNIRP.</w:t>
      </w:r>
    </w:p>
    <w:p>
      <w:pPr>
        <w:pStyle w:val="Heading1"/>
      </w:pPr>
      <w:r>
        <w:t xml:space="preserve">2. Résultats — monocouche semi-infinie</w:t>
      </w:r>
    </w:p>
    <w:p>
      <w:pPr>
        <w:spacing w:after="120"/>
      </w:pPr>
      <w:r>
        <w:rPr>
          <w:color w:val="64748B"/>
          <w:sz w:val="19"/>
          <w:szCs w:val="19"/>
        </w:rPr>
        <w:t xml:space="preserve">Onde plane, incidence normale, E_inc = 19,41 V/m rms (S_inc ≈ 1 W/m²). Critère de réussite : écart &lt; 2 %.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300"/>
        <w:gridCol w:w="1500"/>
        <w:gridCol w:w="1500"/>
        <w:gridCol w:w="1200"/>
        <w:gridCol w:w="1326"/>
      </w:tblGrid>
      <w:tr>
        <w:trPr>
          <w:tblHeader/>
        </w:trPr>
        <w:tc>
          <w:tcPr>
            <w:tcW w:type="dxa" w:w="2200"/>
            <w:tcBorders>
              <w:top w:val="single" w:color="CCCCCC" w:sz="1"/>
              <w:left w:val="single" w:color="CCCCCC" w:sz="1"/>
              <w:bottom w:val="single" w:color="CCCCCC" w:sz="1"/>
              <w:right w:val="single" w:color="CCCCCC" w:sz="1"/>
            </w:tcBorders>
            <w:shd w:fill="1A2E4A" w:val="clear"/>
            <w:tcMar>
              <w:top w:type="dxa" w:w="50"/>
              <w:left w:type="dxa" w:w="110"/>
              <w:bottom w:type="dxa" w:w="50"/>
              <w:right w:type="dxa" w:w="110"/>
            </w:tcMar>
          </w:tcPr>
          <w:p>
            <w:pPr>
              <w:spacing w:after="0"/>
            </w:pPr>
            <w:r>
              <w:rPr>
                <w:b/>
                <w:bCs/>
                <w:color w:val="FFFFFF"/>
                <w:sz w:val="18"/>
                <w:szCs w:val="18"/>
              </w:rPr>
              <w:t xml:space="preserve">Tissu</w:t>
            </w:r>
          </w:p>
        </w:tc>
        <w:tc>
          <w:tcPr>
            <w:tcW w:type="dxa" w:w="1300"/>
            <w:tcBorders>
              <w:top w:val="single" w:color="CCCCCC" w:sz="1"/>
              <w:left w:val="single" w:color="CCCCCC" w:sz="1"/>
              <w:bottom w:val="single" w:color="CCCCCC" w:sz="1"/>
              <w:right w:val="single" w:color="CCCCCC" w:sz="1"/>
            </w:tcBorders>
            <w:shd w:fill="1A2E4A" w:val="clear"/>
            <w:tcMar>
              <w:top w:type="dxa" w:w="50"/>
              <w:left w:type="dxa" w:w="110"/>
              <w:bottom w:type="dxa" w:w="50"/>
              <w:right w:type="dxa" w:w="110"/>
            </w:tcMar>
          </w:tcPr>
          <w:p>
            <w:pPr>
              <w:spacing w:after="0"/>
              <w:jc w:val="center"/>
            </w:pPr>
            <w:r>
              <w:rPr>
                <w:b/>
                <w:bCs/>
                <w:color w:val="FFFFFF"/>
                <w:sz w:val="18"/>
                <w:szCs w:val="18"/>
              </w:rPr>
              <w:t xml:space="preserve">Fréq.</w:t>
            </w:r>
          </w:p>
        </w:tc>
        <w:tc>
          <w:tcPr>
            <w:tcW w:type="dxa" w:w="1500"/>
            <w:tcBorders>
              <w:top w:val="single" w:color="CCCCCC" w:sz="1"/>
              <w:left w:val="single" w:color="CCCCCC" w:sz="1"/>
              <w:bottom w:val="single" w:color="CCCCCC" w:sz="1"/>
              <w:right w:val="single" w:color="CCCCCC" w:sz="1"/>
            </w:tcBorders>
            <w:shd w:fill="1A2E4A" w:val="clear"/>
            <w:tcMar>
              <w:top w:type="dxa" w:w="50"/>
              <w:left w:type="dxa" w:w="110"/>
              <w:bottom w:type="dxa" w:w="50"/>
              <w:right w:type="dxa" w:w="110"/>
            </w:tcMar>
          </w:tcPr>
          <w:p>
            <w:pPr>
              <w:spacing w:after="0"/>
            </w:pPr>
            <w:r>
              <w:rPr>
                <w:b/>
                <w:bCs/>
                <w:color w:val="FFFFFF"/>
                <w:sz w:val="18"/>
                <w:szCs w:val="18"/>
              </w:rPr>
              <w:t xml:space="preserve">Grandeur</w:t>
            </w:r>
          </w:p>
        </w:tc>
        <w:tc>
          <w:tcPr>
            <w:tcW w:type="dxa" w:w="1500"/>
            <w:tcBorders>
              <w:top w:val="single" w:color="CCCCCC" w:sz="1"/>
              <w:left w:val="single" w:color="CCCCCC" w:sz="1"/>
              <w:bottom w:val="single" w:color="CCCCCC" w:sz="1"/>
              <w:right w:val="single" w:color="CCCCCC" w:sz="1"/>
            </w:tcBorders>
            <w:shd w:fill="1A2E4A" w:val="clear"/>
            <w:tcMar>
              <w:top w:type="dxa" w:w="50"/>
              <w:left w:type="dxa" w:w="110"/>
              <w:bottom w:type="dxa" w:w="50"/>
              <w:right w:type="dxa" w:w="110"/>
            </w:tcMar>
          </w:tcPr>
          <w:p>
            <w:pPr>
              <w:spacing w:after="0"/>
              <w:jc w:val="center"/>
            </w:pPr>
            <w:r>
              <w:rPr>
                <w:b/>
                <w:bCs/>
                <w:color w:val="FFFFFF"/>
                <w:sz w:val="18"/>
                <w:szCs w:val="18"/>
              </w:rPr>
              <w:t xml:space="preserve">Outil</w:t>
            </w:r>
          </w:p>
        </w:tc>
        <w:tc>
          <w:tcPr>
            <w:tcW w:type="dxa" w:w="1200"/>
            <w:tcBorders>
              <w:top w:val="single" w:color="CCCCCC" w:sz="1"/>
              <w:left w:val="single" w:color="CCCCCC" w:sz="1"/>
              <w:bottom w:val="single" w:color="CCCCCC" w:sz="1"/>
              <w:right w:val="single" w:color="CCCCCC" w:sz="1"/>
            </w:tcBorders>
            <w:shd w:fill="1A2E4A" w:val="clear"/>
            <w:tcMar>
              <w:top w:type="dxa" w:w="50"/>
              <w:left w:type="dxa" w:w="110"/>
              <w:bottom w:type="dxa" w:w="50"/>
              <w:right w:type="dxa" w:w="110"/>
            </w:tcMar>
          </w:tcPr>
          <w:p>
            <w:pPr>
              <w:spacing w:after="0"/>
              <w:jc w:val="center"/>
            </w:pPr>
            <w:r>
              <w:rPr>
                <w:b/>
                <w:bCs/>
                <w:color w:val="FFFFFF"/>
                <w:sz w:val="18"/>
                <w:szCs w:val="18"/>
              </w:rPr>
              <w:t xml:space="preserve">Exact</w:t>
            </w:r>
          </w:p>
        </w:tc>
        <w:tc>
          <w:tcPr>
            <w:tcW w:type="dxa" w:w="1326"/>
            <w:tcBorders>
              <w:top w:val="single" w:color="CCCCCC" w:sz="1"/>
              <w:left w:val="single" w:color="CCCCCC" w:sz="1"/>
              <w:bottom w:val="single" w:color="CCCCCC" w:sz="1"/>
              <w:right w:val="single" w:color="CCCCCC" w:sz="1"/>
            </w:tcBorders>
            <w:shd w:fill="1A2E4A" w:val="clear"/>
            <w:tcMar>
              <w:top w:type="dxa" w:w="50"/>
              <w:left w:type="dxa" w:w="110"/>
              <w:bottom w:type="dxa" w:w="50"/>
              <w:right w:type="dxa" w:w="110"/>
            </w:tcMar>
          </w:tcPr>
          <w:p>
            <w:pPr>
              <w:spacing w:after="0"/>
              <w:jc w:val="center"/>
            </w:pPr>
            <w:r>
              <w:rPr>
                <w:b/>
                <w:bCs/>
                <w:color w:val="FFFFFF"/>
                <w:sz w:val="18"/>
                <w:szCs w:val="18"/>
              </w:rPr>
              <w:t xml:space="preserve">Écart</w:t>
            </w:r>
          </w:p>
        </w:tc>
      </w:tr>
      <w:tr>
        <w:tc>
          <w:tcPr>
            <w:tcW w:type="dxa" w:w="2200"/>
            <w:tcBorders>
              <w:top w:val="single" w:color="CCCCCC" w:sz="1"/>
              <w:left w:val="single" w:color="CCCCCC" w:sz="1"/>
              <w:bottom w:val="single" w:color="CCCCCC" w:sz="1"/>
              <w:right w:val="single" w:color="CCCCCC" w:sz="1"/>
            </w:tcBorders>
            <w:shd w:fill="F1F5F9" w:val="clear"/>
            <w:tcMar>
              <w:top w:type="dxa" w:w="50"/>
              <w:left w:type="dxa" w:w="110"/>
              <w:bottom w:type="dxa" w:w="50"/>
              <w:right w:type="dxa" w:w="110"/>
            </w:tcMar>
          </w:tcPr>
          <w:p>
            <w:pPr>
              <w:spacing w:after="0"/>
            </w:pPr>
            <w:r>
              <w:rPr>
                <w:b/>
                <w:bCs/>
                <w:sz w:val="18"/>
                <w:szCs w:val="18"/>
              </w:rPr>
              <w:t xml:space="preserve">Muscle</w:t>
            </w:r>
          </w:p>
        </w:tc>
        <w:tc>
          <w:tcPr>
            <w:tcW w:type="dxa" w:w="1300"/>
            <w:tcBorders>
              <w:top w:val="single" w:color="CCCCCC" w:sz="1"/>
              <w:left w:val="single" w:color="CCCCCC" w:sz="1"/>
              <w:bottom w:val="single" w:color="CCCCCC" w:sz="1"/>
              <w:right w:val="single" w:color="CCCCCC" w:sz="1"/>
            </w:tcBorders>
            <w:shd w:fill="F1F5F9" w:val="clear"/>
            <w:tcMar>
              <w:top w:type="dxa" w:w="50"/>
              <w:left w:type="dxa" w:w="110"/>
              <w:bottom w:type="dxa" w:w="50"/>
              <w:right w:type="dxa" w:w="110"/>
            </w:tcMar>
          </w:tcPr>
          <w:p>
            <w:pPr>
              <w:spacing w:after="0"/>
              <w:jc w:val="center"/>
            </w:pPr>
            <w:r>
              <w:rPr>
                <w:sz w:val="18"/>
                <w:szCs w:val="18"/>
              </w:rPr>
              <w:t xml:space="preserve">2,45 GHz</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|R|</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0,7626</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0,7625</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0,02 %</w:t>
            </w:r>
          </w:p>
        </w:tc>
      </w:tr>
      <w:tr>
        <w:tc>
          <w:tcPr>
            <w:tcW w:type="dxa" w:w="2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b w:val="false"/>
                <w:bCs w:val="false"/>
                <w:sz w:val="18"/>
                <w:szCs w:val="18"/>
              </w:rPr>
              <w:t xml:space="preserve"/>
            </w:r>
          </w:p>
        </w:tc>
        <w:tc>
          <w:tcPr>
            <w:tcW w:type="dxa" w:w="13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SAR surface (W/kg)</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0,0343</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0,0344</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0,12 %</w:t>
            </w:r>
          </w:p>
        </w:tc>
      </w:tr>
      <w:tr>
        <w:tc>
          <w:tcPr>
            <w:tcW w:type="dxa" w:w="2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b w:val="false"/>
                <w:bCs w:val="false"/>
                <w:sz w:val="18"/>
                <w:szCs w:val="18"/>
              </w:rPr>
              <w:t xml:space="preserve"/>
            </w:r>
          </w:p>
        </w:tc>
        <w:tc>
          <w:tcPr>
            <w:tcW w:type="dxa" w:w="13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δ pénétration (mm)</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22,37</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22,33</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0,18 %</w:t>
            </w:r>
          </w:p>
        </w:tc>
      </w:tr>
      <w:tr>
        <w:tc>
          <w:tcPr>
            <w:tcW w:type="dxa" w:w="2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b w:val="false"/>
                <w:bCs w:val="false"/>
                <w:sz w:val="18"/>
                <w:szCs w:val="18"/>
              </w:rPr>
              <w:t xml:space="preserve"/>
            </w:r>
          </w:p>
        </w:tc>
        <w:tc>
          <w:tcPr>
            <w:tcW w:type="dxa" w:w="13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bilan énergie (W/m²)</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0,4244</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0,4187</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1,38 %</w:t>
            </w:r>
          </w:p>
        </w:tc>
      </w:tr>
      <w:tr>
        <w:tc>
          <w:tcPr>
            <w:tcW w:type="dxa" w:w="2200"/>
            <w:tcBorders>
              <w:top w:val="single" w:color="CCCCCC" w:sz="1"/>
              <w:left w:val="single" w:color="CCCCCC" w:sz="1"/>
              <w:bottom w:val="single" w:color="CCCCCC" w:sz="1"/>
              <w:right w:val="single" w:color="CCCCCC" w:sz="1"/>
            </w:tcBorders>
            <w:shd w:fill="F1F5F9" w:val="clear"/>
            <w:tcMar>
              <w:top w:type="dxa" w:w="50"/>
              <w:left w:type="dxa" w:w="110"/>
              <w:bottom w:type="dxa" w:w="50"/>
              <w:right w:type="dxa" w:w="110"/>
            </w:tcMar>
          </w:tcPr>
          <w:p>
            <w:pPr>
              <w:spacing w:after="0"/>
            </w:pPr>
            <w:r>
              <w:rPr>
                <w:b/>
                <w:bCs/>
                <w:sz w:val="18"/>
                <w:szCs w:val="18"/>
              </w:rPr>
              <w:t xml:space="preserve">Peau</w:t>
            </w:r>
          </w:p>
        </w:tc>
        <w:tc>
          <w:tcPr>
            <w:tcW w:type="dxa" w:w="1300"/>
            <w:tcBorders>
              <w:top w:val="single" w:color="CCCCCC" w:sz="1"/>
              <w:left w:val="single" w:color="CCCCCC" w:sz="1"/>
              <w:bottom w:val="single" w:color="CCCCCC" w:sz="1"/>
              <w:right w:val="single" w:color="CCCCCC" w:sz="1"/>
            </w:tcBorders>
            <w:shd w:fill="F1F5F9" w:val="clear"/>
            <w:tcMar>
              <w:top w:type="dxa" w:w="50"/>
              <w:left w:type="dxa" w:w="110"/>
              <w:bottom w:type="dxa" w:w="50"/>
              <w:right w:type="dxa" w:w="110"/>
            </w:tcMar>
          </w:tcPr>
          <w:p>
            <w:pPr>
              <w:spacing w:after="0"/>
              <w:jc w:val="center"/>
            </w:pPr>
            <w:r>
              <w:rPr>
                <w:sz w:val="18"/>
                <w:szCs w:val="18"/>
              </w:rPr>
              <w:t xml:space="preserve">900 MHz</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|R|</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0,7450</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0,7449</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0,02 %</w:t>
            </w:r>
          </w:p>
        </w:tc>
      </w:tr>
      <w:tr>
        <w:tc>
          <w:tcPr>
            <w:tcW w:type="dxa" w:w="2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b w:val="false"/>
                <w:bCs w:val="false"/>
                <w:sz w:val="18"/>
                <w:szCs w:val="18"/>
              </w:rPr>
              <w:t xml:space="preserve"/>
            </w:r>
          </w:p>
        </w:tc>
        <w:tc>
          <w:tcPr>
            <w:tcW w:type="dxa" w:w="13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SAR surface (W/kg)</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0,0199</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0,0200</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0,12 %</w:t>
            </w:r>
          </w:p>
        </w:tc>
      </w:tr>
      <w:tr>
        <w:tc>
          <w:tcPr>
            <w:tcW w:type="dxa" w:w="2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b w:val="false"/>
                <w:bCs w:val="false"/>
                <w:sz w:val="18"/>
                <w:szCs w:val="18"/>
              </w:rPr>
              <w:t xml:space="preserve"/>
            </w:r>
          </w:p>
        </w:tc>
        <w:tc>
          <w:tcPr>
            <w:tcW w:type="dxa" w:w="13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δ pénétration (mm)</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40,40</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40,23</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0,42 %</w:t>
            </w:r>
          </w:p>
        </w:tc>
      </w:tr>
      <w:tr>
        <w:tc>
          <w:tcPr>
            <w:tcW w:type="dxa" w:w="2200"/>
            <w:tcBorders>
              <w:top w:val="single" w:color="CCCCCC" w:sz="1"/>
              <w:left w:val="single" w:color="CCCCCC" w:sz="1"/>
              <w:bottom w:val="single" w:color="CCCCCC" w:sz="1"/>
              <w:right w:val="single" w:color="CCCCCC" w:sz="1"/>
            </w:tcBorders>
            <w:shd w:fill="F1F5F9" w:val="clear"/>
            <w:tcMar>
              <w:top w:type="dxa" w:w="50"/>
              <w:left w:type="dxa" w:w="110"/>
              <w:bottom w:type="dxa" w:w="50"/>
              <w:right w:type="dxa" w:w="110"/>
            </w:tcMar>
          </w:tcPr>
          <w:p>
            <w:pPr>
              <w:spacing w:after="0"/>
            </w:pPr>
            <w:r>
              <w:rPr>
                <w:b/>
                <w:bCs/>
                <w:sz w:val="18"/>
                <w:szCs w:val="18"/>
              </w:rPr>
              <w:t xml:space="preserve">Cerveau (gris)</w:t>
            </w:r>
          </w:p>
        </w:tc>
        <w:tc>
          <w:tcPr>
            <w:tcW w:type="dxa" w:w="1300"/>
            <w:tcBorders>
              <w:top w:val="single" w:color="CCCCCC" w:sz="1"/>
              <w:left w:val="single" w:color="CCCCCC" w:sz="1"/>
              <w:bottom w:val="single" w:color="CCCCCC" w:sz="1"/>
              <w:right w:val="single" w:color="CCCCCC" w:sz="1"/>
            </w:tcBorders>
            <w:shd w:fill="F1F5F9" w:val="clear"/>
            <w:tcMar>
              <w:top w:type="dxa" w:w="50"/>
              <w:left w:type="dxa" w:w="110"/>
              <w:bottom w:type="dxa" w:w="50"/>
              <w:right w:type="dxa" w:w="110"/>
            </w:tcMar>
          </w:tcPr>
          <w:p>
            <w:pPr>
              <w:spacing w:after="0"/>
              <w:jc w:val="center"/>
            </w:pPr>
            <w:r>
              <w:rPr>
                <w:sz w:val="18"/>
                <w:szCs w:val="18"/>
              </w:rPr>
              <w:t xml:space="preserve">1,8 GHz</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|R|</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0,7586</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0,7584</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0,02 %</w:t>
            </w:r>
          </w:p>
        </w:tc>
      </w:tr>
      <w:tr>
        <w:tc>
          <w:tcPr>
            <w:tcW w:type="dxa" w:w="2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b w:val="false"/>
                <w:bCs w:val="false"/>
                <w:sz w:val="18"/>
                <w:szCs w:val="18"/>
              </w:rPr>
              <w:t xml:space="preserve"/>
            </w:r>
          </w:p>
        </w:tc>
        <w:tc>
          <w:tcPr>
            <w:tcW w:type="dxa" w:w="13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SAR surface (W/kg)</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0,0298</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0,0298</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0,12 %</w:t>
            </w:r>
          </w:p>
        </w:tc>
      </w:tr>
      <w:tr>
        <w:tc>
          <w:tcPr>
            <w:tcW w:type="dxa" w:w="2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b w:val="false"/>
                <w:bCs w:val="false"/>
                <w:sz w:val="18"/>
                <w:szCs w:val="18"/>
              </w:rPr>
              <w:t xml:space="preserve"/>
            </w:r>
          </w:p>
        </w:tc>
        <w:tc>
          <w:tcPr>
            <w:tcW w:type="dxa" w:w="13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δ pénétration (mm)</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27,38</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27,26</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0,45 %</w:t>
            </w:r>
          </w:p>
        </w:tc>
      </w:tr>
      <w:tr>
        <w:tc>
          <w:tcPr>
            <w:tcW w:type="dxa" w:w="2200"/>
            <w:tcBorders>
              <w:top w:val="single" w:color="CCCCCC" w:sz="1"/>
              <w:left w:val="single" w:color="CCCCCC" w:sz="1"/>
              <w:bottom w:val="single" w:color="CCCCCC" w:sz="1"/>
              <w:right w:val="single" w:color="CCCCCC" w:sz="1"/>
            </w:tcBorders>
            <w:shd w:fill="F1F5F9" w:val="clear"/>
            <w:tcMar>
              <w:top w:type="dxa" w:w="50"/>
              <w:left w:type="dxa" w:w="110"/>
              <w:bottom w:type="dxa" w:w="50"/>
              <w:right w:type="dxa" w:w="110"/>
            </w:tcMar>
          </w:tcPr>
          <w:p>
            <w:pPr>
              <w:spacing w:after="0"/>
            </w:pPr>
            <w:r>
              <w:rPr>
                <w:b/>
                <w:bCs/>
                <w:sz w:val="18"/>
                <w:szCs w:val="18"/>
              </w:rPr>
              <w:t xml:space="preserve">Graisse</w:t>
            </w:r>
          </w:p>
        </w:tc>
        <w:tc>
          <w:tcPr>
            <w:tcW w:type="dxa" w:w="1300"/>
            <w:tcBorders>
              <w:top w:val="single" w:color="CCCCCC" w:sz="1"/>
              <w:left w:val="single" w:color="CCCCCC" w:sz="1"/>
              <w:bottom w:val="single" w:color="CCCCCC" w:sz="1"/>
              <w:right w:val="single" w:color="CCCCCC" w:sz="1"/>
            </w:tcBorders>
            <w:shd w:fill="F1F5F9" w:val="clear"/>
            <w:tcMar>
              <w:top w:type="dxa" w:w="50"/>
              <w:left w:type="dxa" w:w="110"/>
              <w:bottom w:type="dxa" w:w="50"/>
              <w:right w:type="dxa" w:w="110"/>
            </w:tcMar>
          </w:tcPr>
          <w:p>
            <w:pPr>
              <w:spacing w:after="0"/>
              <w:jc w:val="center"/>
            </w:pPr>
            <w:r>
              <w:rPr>
                <w:sz w:val="18"/>
                <w:szCs w:val="18"/>
              </w:rPr>
              <w:t xml:space="preserve">2,45 GHz</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|R|</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0,5386</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0,5384</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0,05 %</w:t>
            </w:r>
          </w:p>
        </w:tc>
      </w:tr>
      <w:tr>
        <w:tc>
          <w:tcPr>
            <w:tcW w:type="dxa" w:w="2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b w:val="false"/>
                <w:bCs w:val="false"/>
                <w:sz w:val="18"/>
                <w:szCs w:val="18"/>
              </w:rPr>
              <w:t xml:space="preserve"/>
            </w:r>
          </w:p>
        </w:tc>
        <w:tc>
          <w:tcPr>
            <w:tcW w:type="dxa" w:w="13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SAR surface (W/kg)</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0,0238</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0,0238</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0,11 %</w:t>
            </w:r>
          </w:p>
        </w:tc>
      </w:tr>
      <w:tr>
        <w:tc>
          <w:tcPr>
            <w:tcW w:type="dxa" w:w="2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b w:val="false"/>
                <w:bCs w:val="false"/>
                <w:sz w:val="18"/>
                <w:szCs w:val="18"/>
              </w:rPr>
              <w:t xml:space="preserve"/>
            </w:r>
          </w:p>
        </w:tc>
        <w:tc>
          <w:tcPr>
            <w:tcW w:type="dxa" w:w="13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pPr>
            <w:r>
              <w:rPr>
                <w:sz w:val="18"/>
                <w:szCs w:val="18"/>
              </w:rPr>
              <w:t xml:space="preserve">δ pénétration (mm)</w:t>
            </w:r>
          </w:p>
        </w:tc>
        <w:tc>
          <w:tcPr>
            <w:tcW w:type="dxa" w:w="15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65,44</w:t>
            </w:r>
          </w:p>
        </w:tc>
        <w:tc>
          <w:tcPr>
            <w:tcW w:type="dxa" w:w="1200"/>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sz w:val="18"/>
                <w:szCs w:val="18"/>
              </w:rPr>
              <w:t xml:space="preserve">65,44</w:t>
            </w:r>
          </w:p>
        </w:tc>
        <w:tc>
          <w:tcPr>
            <w:tcW w:type="dxa" w:w="1326"/>
            <w:tcBorders>
              <w:top w:val="single" w:color="CCCCCC" w:sz="1"/>
              <w:left w:val="single" w:color="CCCCCC" w:sz="1"/>
              <w:bottom w:val="single" w:color="CCCCCC" w:sz="1"/>
              <w:right w:val="single" w:color="CCCCCC" w:sz="1"/>
            </w:tcBorders>
            <w:tcMar>
              <w:top w:type="dxa" w:w="50"/>
              <w:left w:type="dxa" w:w="110"/>
              <w:bottom w:type="dxa" w:w="50"/>
              <w:right w:type="dxa" w:w="110"/>
            </w:tcMar>
          </w:tcPr>
          <w:p>
            <w:pPr>
              <w:spacing w:after="0"/>
              <w:jc w:val="center"/>
            </w:pPr>
            <w:r>
              <w:rPr>
                <w:b/>
                <w:bCs/>
                <w:color w:val="0F766E"/>
                <w:sz w:val="18"/>
                <w:szCs w:val="18"/>
              </w:rPr>
              <w:t xml:space="preserve">0,01 %</w:t>
            </w:r>
          </w:p>
        </w:tc>
      </w:tr>
    </w:tbl>
    <w:p>
      <w:pPr>
        <w:spacing w:after="120" w:before="120"/>
      </w:pPr>
      <w:r>
        <w:rPr>
          <w:b/>
          <w:bCs/>
        </w:rPr>
        <w:t xml:space="preserve">Écart maximal : 1,38 %</w:t>
      </w:r>
      <w:r>
        <w:t xml:space="preserve"> (résidu dominé par la discrétisation spatiale, 600 points). Réflexion, champ, SAR et profondeur de pénétration sont reproduits à mieux que 0,5 %.</w:t>
      </w:r>
    </w:p>
    <w:p>
      <w:pPr>
        <w:pStyle w:val="Heading1"/>
      </w:pPr>
      <w:r>
        <w:t xml:space="preserve">3. Cohérence multicouche &amp; conservation de l’énergie</w:t>
      </w:r>
    </w:p>
    <w:p>
      <w:pPr>
        <w:spacing w:after="120"/>
        <w:jc w:val="both"/>
      </w:pPr>
      <w:r>
        <w:t xml:space="preserve">Empilement tête réaliste (peau 1,5 / graisse 2 / os cortical 6 / cerveau 40 mm) à 2,45 GHz : réflexion globale |R| = 0,62, et la puissance absorbée intégrée sur la profondeur ∫ SAR(z)·ρ(z) dz = 0,613 W/m² contre (1 − |R|²)·S_inc = 0,612 W/m², soit </w:t>
      </w:r>
      <w:r>
        <w:rPr>
          <w:b/>
          <w:bCs/>
        </w:rPr>
        <w:t xml:space="preserve">0,23 % d’écart</w:t>
      </w:r>
      <w:r>
        <w:t xml:space="preserve">. L’énergie est conservée — validation indirecte du profil SAR(z) multicouche complet.</w:t>
      </w:r>
    </w:p>
    <w:p>
      <w:pPr>
        <w:pStyle w:val="Heading1"/>
      </w:pPr>
      <w:r>
        <w:t xml:space="preserve">4. Anomalies identifiées et corrigées</w:t>
      </w:r>
    </w:p>
    <w:p>
      <w:pPr>
        <w:spacing w:after="120"/>
      </w:pPr>
      <w:r>
        <w:t xml:space="preserve">La mise en place de la validation a mis au jour deux erreurs de physique dans le moteur initial, </w:t>
      </w:r>
      <w:r>
        <w:rPr>
          <w:b/>
          <w:bCs/>
        </w:rPr>
        <w:t xml:space="preserve">depuis corrigées</w:t>
      </w:r>
      <w:r>
        <w:t xml:space="preserve"> :</w:t>
      </w:r>
    </w:p>
    <w:p>
      <w:pPr>
        <w:pStyle w:val="ListParagraph"/>
        <w:numPr>
          <w:ilvl w:val="0"/>
          <w:numId w:val="2"/>
        </w:numPr>
        <w:spacing w:after="60"/>
      </w:pPr>
      <w:r>
        <w:rPr>
          <w:b/>
          <w:bCs/>
        </w:rPr>
        <w:t xml:space="preserve">Coefficient de réflexion — </w:t>
      </w:r>
      <w:r>
        <w:t xml:space="preserve">l’impédance d’onde était calculée ωμ₀/(jk) au lieu de ωμ₀/k, conduisant à |R| ≈ 0 : la réflexion air↔tissu (~76 % en amplitude pour les tissus mous) était ignorée. Correctif : reformulation rigoureuse de la TMM en amplitudes aller/retour par couche ; le profil interne est désormais la solution exacte (ondes stationnaires comprises).</w:t>
      </w:r>
    </w:p>
    <w:p>
      <w:pPr>
        <w:pStyle w:val="ListParagraph"/>
        <w:numPr>
          <w:ilvl w:val="0"/>
          <w:numId w:val="2"/>
        </w:numPr>
        <w:spacing w:after="60"/>
      </w:pPr>
      <w:r>
        <w:rPr>
          <w:b/>
          <w:bCs/>
        </w:rPr>
        <w:t xml:space="preserve">Conductivité du SAR — </w:t>
      </w:r>
      <w:r>
        <w:t xml:space="preserve">le SAR utilisait la conductivité ionique statique au lieu de la conductivité effective à la fréquence σ_eff = ωε₀ε'' (pertes ohmiques + diélectriques), sous-estimant l’absorption aux fréquences GHz. Correctif : SAR = σ_eff·|E|²/ρ, cohérent avec les pertes de propagation (d’où la conservation de l’énergie, §3).</w:t>
      </w:r>
    </w:p>
    <w:p>
      <w:pPr>
        <w:spacing w:after="120"/>
      </w:pPr>
      <w:r>
        <w:rPr>
          <w:i/>
          <w:iCs/>
          <w:color w:val="64748B"/>
          <w:sz w:val="19"/>
          <w:szCs w:val="19"/>
        </w:rPr>
        <w:t xml:space="preserve">Ces deux erreurs jouaient en sens opposés, masquant partiellement le problème sur les valeurs absolues de SAR.</w:t>
      </w:r>
    </w:p>
    <w:p>
      <w:pPr>
        <w:pStyle w:val="Heading1"/>
      </w:pPr>
      <w:r>
        <w:t xml:space="preserve">5. Limites et reproductibilité</w:t>
      </w:r>
    </w:p>
    <w:p>
      <w:pPr>
        <w:spacing w:after="120"/>
        <w:jc w:val="both"/>
      </w:pPr>
      <w:r>
        <w:t xml:space="preserve">La validation porte sur la physique planaire 1D. L’outil reste une approximation (couches planes infinies, pas de courbure ni d’hétérogénéité 3D) et vise l’ordre de grandeur. Pour des géométries réalistes ou une certification, une simulation FDTD/FEM volumique ou une mesure sur fantôme normalisé demeurent nécessaires.</w:t>
      </w:r>
    </w:p>
    <w:p>
      <w:pPr>
        <w:spacing w:after="120"/>
      </w:pPr>
      <w:r>
        <w:t xml:space="preserve">Validation reproductible : </w:t>
      </w:r>
      <w:r>
        <w:rPr>
          <w:rFonts w:ascii="Consolas" w:cs="Consolas" w:eastAsia="Consolas" w:hAnsi="Consolas"/>
          <w:sz w:val="19"/>
          <w:szCs w:val="19"/>
        </w:rPr>
        <w:t xml:space="preserve">node validation/validate_tmm.js</w:t>
      </w:r>
      <w:r>
        <w:t xml:space="preserve"> — le script lit l’outil, en extrait le moteur et compare à une référence analytique implémentée indépendamment, sans dépendance externe.</w:t>
      </w:r>
    </w:p>
    <w:p>
      <w:pPr>
        <w:pBdr>
          <w:top w:val="single" w:color="CCCCCC" w:sz="4" w:space="6"/>
        </w:pBdr>
        <w:spacing w:before="200"/>
      </w:pPr>
      <w:r>
        <w:rPr>
          <w:i/>
          <w:iCs/>
          <w:color w:val="64748B"/>
          <w:sz w:val="17"/>
          <w:szCs w:val="17"/>
        </w:rPr>
        <w:t xml:space="preserve">Références : C. Gabriel (1996) ; IT’IS Tissue Properties Database V5.0 ; ICNIRP 2020 ; analogie ligne de transmission / TMM (validation standard des codes FDTD aux interfaces planes).</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4748B"/>
        <w:sz w:val="16"/>
        <w:szCs w:val="16"/>
      </w:rPr>
      <w:t xml:space="preserve">Hakeim Talleb — Validation du moteur de dosimétrie EM    ·    page </w:t>
    </w:r>
    <w:r>
      <w:rPr>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Calibri" w:cs="Calibri" w:eastAsia="Calibri" w:hAnsi="Calibri"/>
      <w:b/>
      <w:bCs/>
      <w:color w:val="1A2E4A"/>
      <w:sz w:val="32"/>
      <w:szCs w:val="32"/>
    </w:rPr>
  </w:style>
  <w:style w:type="paragraph" w:styleId="Heading1">
    <w:name w:val="Heading 1"/>
    <w:basedOn w:val="Normal"/>
    <w:next w:val="Normal"/>
    <w:qFormat/>
    <w:pPr>
      <w:spacing w:after="110" w:before="240"/>
      <w:outlineLvl w:val="0"/>
    </w:pPr>
    <w:rPr>
      <w:rFonts w:ascii="Calibri" w:cs="Calibri" w:eastAsia="Calibri" w:hAnsi="Calibri"/>
      <w:b/>
      <w:bCs/>
      <w:color w:val="0F766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2026-06-10T10:02:46.295Z</dcterms:created>
  <dcterms:modified xsi:type="dcterms:W3CDTF">2026-06-10T10:02:46.300Z</dcterms:modified>
</cp:coreProperties>
</file>

<file path=docProps/custom.xml><?xml version="1.0" encoding="utf-8"?>
<Properties xmlns="http://schemas.openxmlformats.org/officeDocument/2006/custom-properties" xmlns:vt="http://schemas.openxmlformats.org/officeDocument/2006/docPropsVTypes"/>
</file>