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Note de cadrage — Outil de dosimétrie électromagnétique pédagogique</w:t>
      </w:r>
    </w:p>
    <w:p>
      <w:pPr>
        <w:spacing w:after="200"/>
      </w:pPr>
      <w:r>
        <w:rPr>
          <w:i/>
          <w:iCs/>
          <w:color w:val="64748B"/>
          <w:sz w:val="20"/>
          <w:szCs w:val="20"/>
        </w:rPr>
        <w:t xml:space="preserve">Proposition de contribution au groupe de travail Dosimétrie de l’ANSES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426"/>
      </w:tblGrid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Auteur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sz w:val="20"/>
                <w:szCs w:val="20"/>
              </w:rPr>
              <w:t xml:space="preserve">Hakeim Talleb, expert mandaté ANSES (groupe de travail Dosimétrie, depuis 2019 — 2ᵉ mandat)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Maintenance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sz w:val="20"/>
                <w:szCs w:val="20"/>
              </w:rPr>
              <w:t xml:space="preserve">Hakeim Talleb (auteur)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Déclaration d’intérêts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sz w:val="20"/>
                <w:szCs w:val="20"/>
              </w:rPr>
              <w:t xml:space="preserve">Voir DPI déposée auprès de l’ANSES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sz w:val="20"/>
                <w:szCs w:val="20"/>
              </w:rPr>
              <w:t xml:space="preserve">Juin 2026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Version de l’outil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sz w:val="20"/>
                <w:szCs w:val="20"/>
              </w:rPr>
              <w:t xml:space="preserve">Application web « Dosimétrie EM — TMM + Cole-Cole (IT’IS V5.0) »</w:t>
            </w:r>
          </w:p>
        </w:tc>
      </w:tr>
    </w:tbl>
    <w:p>
      <w:pPr>
        <w:spacing w:after="120"/>
      </w:pPr>
    </w:p>
    <w:p>
      <w:pPr>
        <w:pStyle w:val="Heading1"/>
      </w:pPr>
      <w:r>
        <w:t xml:space="preserve">1. Objet</w:t>
      </w:r>
    </w:p>
    <w:p>
      <w:pPr>
        <w:spacing w:after="120"/>
        <w:jc w:val="both"/>
      </w:pPr>
      <w:r>
        <w:t xml:space="preserve">Cette note présente un outil web pédagogique d’estimation de l’absorption électromagnétique dans les tissus biologiques, proposé comme </w:t>
      </w:r>
      <w:r>
        <w:rPr>
          <w:b/>
          <w:bCs/>
        </w:rPr>
        <w:t xml:space="preserve">contribution scientifique</w:t>
      </w:r>
      <w:r>
        <w:t xml:space="preserve"> au groupe de travail. Il poursuit un double objectif 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Grand public / vulgarisation</w:t>
      </w:r>
      <w:r>
        <w:t xml:space="preserve"> — donner un </w:t>
      </w:r>
      <w:r>
        <w:rPr>
          <w:b/>
          <w:bCs/>
        </w:rPr>
        <w:t xml:space="preserve">ordre de grandeur</w:t>
      </w:r>
      <w:r>
        <w:t xml:space="preserve"> du Débit d’Absorption Spécifique (DAS / SAR) et de l’échauffement associé, pour aider à se forger des notions sur les niveaux d’exposition, </w:t>
      </w:r>
      <w:r>
        <w:rPr>
          <w:b/>
          <w:bCs/>
        </w:rPr>
        <w:t xml:space="preserve">sans prétendre remplacer</w:t>
      </w:r>
      <w:r>
        <w:t xml:space="preserve"> un code numérique de référence (FDTD, FEM).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Recherche</w:t>
      </w:r>
      <w:r>
        <w:t xml:space="preserve"> — donner un </w:t>
      </w:r>
      <w:r>
        <w:rPr>
          <w:b/>
          <w:bCs/>
        </w:rPr>
        <w:t xml:space="preserve">accès structuré et tracé</w:t>
      </w:r>
      <w:r>
        <w:t xml:space="preserve"> aux données diélectriques de la littérature (permittivité, conductivité, dispersions Cole-Cole, profondeur de pénétration), directement exploitables et comparées entre sources.</w:t>
      </w:r>
    </w:p>
    <w:p>
      <w:pPr>
        <w:pStyle w:val="Heading1"/>
      </w:pPr>
      <w:r>
        <w:t xml:space="preserve">2. Méthodes et contenu scientifique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4000"/>
        <w:gridCol w:w="3126"/>
      </w:tblGrid>
      <w:tr>
        <w:trPr>
          <w:tblHeader/>
        </w:trP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E4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Module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E4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Méthode</w:t>
            </w:r>
          </w:p>
        </w:tc>
        <w:tc>
          <w:tcPr>
            <w:tcW w:type="dxa" w:w="3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E4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Source / référence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sz w:val="20"/>
                <w:szCs w:val="20"/>
              </w:rPr>
              <w:t xml:space="preserve">Absorption EM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sz w:val="20"/>
                <w:szCs w:val="20"/>
              </w:rPr>
              <w:t xml:space="preserve">Méthode des matrices de transfert (TMM) sur empilements de couches planes homogènes</w:t>
            </w:r>
          </w:p>
        </w:tc>
        <w:tc>
          <w:tcPr>
            <w:tcW w:type="dxa" w:w="3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sz w:val="20"/>
                <w:szCs w:val="20"/>
              </w:rPr>
              <w:t xml:space="preserve">Formalisme analytique classique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sz w:val="20"/>
                <w:szCs w:val="20"/>
              </w:rPr>
              <w:t xml:space="preserve">Propriétés diélectriques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sz w:val="20"/>
                <w:szCs w:val="20"/>
              </w:rPr>
              <w:t xml:space="preserve">Modèle de dispersion Cole-Cole 4 pôles (~110 tissus)</w:t>
            </w:r>
          </w:p>
        </w:tc>
        <w:tc>
          <w:tcPr>
            <w:tcW w:type="dxa" w:w="3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sz w:val="20"/>
                <w:szCs w:val="20"/>
              </w:rPr>
              <w:t xml:space="preserve">IT’IS Database V5.0 ; comparaison IFAC (Gabriel et al.)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sz w:val="20"/>
                <w:szCs w:val="20"/>
              </w:rPr>
              <w:t xml:space="preserve">Sources d’exposition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sz w:val="20"/>
                <w:szCs w:val="20"/>
              </w:rPr>
              <w:t xml:space="preserve">Onde plane (champ lointain), champ proche (dipôle, boucle NFC/RFID/IRM), limites ICNIRP 1998/2020</w:t>
            </w:r>
          </w:p>
        </w:tc>
        <w:tc>
          <w:tcPr>
            <w:tcW w:type="dxa" w:w="3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sz w:val="20"/>
                <w:szCs w:val="20"/>
              </w:rPr>
              <w:t xml:space="preserve">ICNIRP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sz w:val="20"/>
                <w:szCs w:val="20"/>
              </w:rPr>
              <w:t xml:space="preserve">Échauffement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sz w:val="20"/>
                <w:szCs w:val="20"/>
              </w:rPr>
              <w:t xml:space="preserve">Équation de bio-chaleur de Pennes : 0D (perfusion) et 1D multicouche (conduction + perfusion, convection peau↔air en surface, température de cœur en profondeur)</w:t>
            </w:r>
          </w:p>
        </w:tc>
        <w:tc>
          <w:tcPr>
            <w:tcW w:type="dxa" w:w="3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sz w:val="20"/>
                <w:szCs w:val="20"/>
              </w:rPr>
              <w:t xml:space="preserve">IT’IS Thermal Database (propriétés par tissu)</w:t>
            </w:r>
          </w:p>
        </w:tc>
      </w:tr>
    </w:tbl>
    <w:p>
      <w:pPr>
        <w:spacing w:after="80"/>
      </w:pPr>
    </w:p>
    <w:p>
      <w:pPr>
        <w:spacing w:after="120"/>
        <w:jc w:val="both"/>
      </w:pPr>
      <w:r>
        <w:rPr>
          <w:b/>
          <w:bCs/>
        </w:rPr>
        <w:t xml:space="preserve">Traçabilité. </w:t>
      </w:r>
      <w:r>
        <w:t xml:space="preserve">Chaque grandeur diélectrique est rattachée à sa source (IT’IS / IFAC) et affichée avec ses écarts inter-sources. Les seuils thermiques sont alignés sur </w:t>
      </w:r>
      <w:r>
        <w:rPr>
          <w:b/>
          <w:bCs/>
        </w:rPr>
        <w:t xml:space="preserve">ICNIRP 2020</w:t>
      </w:r>
      <w:r>
        <w:t xml:space="preserve"> (élévation locale de référence : 1 °C ; seuil local tête/tronc : 2 °C ; seuil local membres : 5 °C).</w:t>
      </w:r>
    </w:p>
    <w:p>
      <w:pPr>
        <w:pStyle w:val="Heading1"/>
      </w:pPr>
      <w:r>
        <w:t xml:space="preserve">3. Périmètre et limites (assumés explicitement)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Géométrie </w:t>
      </w:r>
      <w:r>
        <w:rPr>
          <w:b/>
          <w:bCs/>
        </w:rPr>
        <w:t xml:space="preserve">planaire infinie</w:t>
      </w:r>
      <w:r>
        <w:t xml:space="preserve"> : ne tient pas compte de la courbure du corps ni des hétérogénéités locales 3D.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Couches </w:t>
      </w:r>
      <w:r>
        <w:rPr>
          <w:b/>
          <w:bCs/>
        </w:rPr>
        <w:t xml:space="preserve">homogènes</w:t>
      </w:r>
      <w:r>
        <w:t xml:space="preserve">. L’estimation vise l’ordre de grandeur, pas la valeur certifiée.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Ne remplace pas</w:t>
      </w:r>
      <w:r>
        <w:t xml:space="preserve"> une simulation volumique (FDTD, FEM) ni une mesure sur fantôme normalisé.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N’établit aucune conformité réglementaire</w:t>
      </w:r>
      <w:r>
        <w:t xml:space="preserve"> : l’outil est pédagogique et indicatif.</w:t>
      </w:r>
    </w:p>
    <w:p>
      <w:pPr>
        <w:spacing w:after="120"/>
      </w:pPr>
      <w:r>
        <w:rPr>
          <w:i/>
          <w:iCs/>
          <w:color w:val="64748B"/>
          <w:sz w:val="19"/>
          <w:szCs w:val="19"/>
        </w:rPr>
        <w:t xml:space="preserve">Ces limites sont affichées directement dans l’interface (bandeau d’avertissement permanent).</w:t>
      </w:r>
    </w:p>
    <w:p>
      <w:pPr>
        <w:pStyle w:val="Heading1"/>
      </w:pPr>
      <w:r>
        <w:t xml:space="preserve">4. Mise à disposition proposée</w:t>
      </w:r>
    </w:p>
    <w:p>
      <w:pPr>
        <w:spacing w:after="120"/>
        <w:jc w:val="both"/>
      </w:pPr>
      <w:r>
        <w:t xml:space="preserve">Pour s’aligner sur les exigences d’</w:t>
      </w:r>
      <w:r>
        <w:rPr>
          <w:b/>
          <w:bCs/>
        </w:rPr>
        <w:t xml:space="preserve">indépendance, transparence et traçabilité</w:t>
      </w:r>
      <w:r>
        <w:t xml:space="preserve"> d’une agence publique 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Accès libre par URL</w:t>
      </w:r>
      <w:r>
        <w:t xml:space="preserve"> — application web, sans installation, sans authentification ni restriction commerciale (aucun mécanisme de licence).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Code ouvert et auditable</w:t>
      </w:r>
      <w:r>
        <w:t xml:space="preserve"> — dépôt sous licence ouverte (p. ex. EUPL ou CC-BY), permettant à l’ANSES et aux chercheurs de vérifier les formules et les données.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Maintenance</w:t>
      </w:r>
      <w:r>
        <w:t xml:space="preserve"> assurée par l’auteur (Hakeim Talleb) — outil non propriétaire, librement auditable et réutilisable.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Validation</w:t>
      </w:r>
      <w:r>
        <w:t xml:space="preserve"> — fourniture de 2 à 3 cas de comparaison avec des résultats FDTD/FEM publiés, pour situer la précision de l’estimation.</w:t>
      </w:r>
    </w:p>
    <w:p>
      <w:pPr>
        <w:pStyle w:val="Heading1"/>
      </w:pPr>
      <w:r>
        <w:t xml:space="preserve">5. Prochaines étapes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[Fait] </w:t>
      </w:r>
      <w:r>
        <w:t xml:space="preserve">Consolidation de la partie thermique (propriétés thermiques par tissu, conditions aux limites convectives).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[Fait] </w:t>
      </w:r>
      <w:r>
        <w:t xml:space="preserve">Validation du moteur contre la solution analytique exacte (réflexion, SAR, profondeur de pénétration, conservation de l’énergie) — écart &lt; 1,4 %. Deux erreurs de physique corrigées à cette occasion (voir VALIDATION.md).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Choix et application de la licence ouverte.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Note méthodologique détaillée (équations, hypothèses, bibliographie) en annexe.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Présentation au groupe de travail.</w:t>
      </w:r>
    </w:p>
    <w:p>
      <w:pPr>
        <w:pBdr>
          <w:top w:val="single" w:color="CCCCCC" w:sz="4" w:space="6"/>
        </w:pBdr>
        <w:spacing w:before="240"/>
      </w:pPr>
      <w:r>
        <w:rPr>
          <w:i/>
          <w:iCs/>
          <w:color w:val="64748B"/>
          <w:sz w:val="18"/>
          <w:szCs w:val="18"/>
        </w:rPr>
        <w:t xml:space="preserve">Outil proposé à titre de contribution d’expertise. Toute réutilisation des données diélectriques reste soumise aux conditions des bases sources (IT’IS, IFAC).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Hakeim Talleb — Note de cadrage · Outil de dosimétrie EM    ·    page </w:t>
    </w:r>
    <w:r>
      <w:rPr>
        <w:color w:val="64748B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pPr>
      <w:spacing w:after="60"/>
    </w:pPr>
    <w:rPr>
      <w:rFonts w:ascii="Calibri" w:cs="Calibri" w:eastAsia="Calibri" w:hAnsi="Calibri"/>
      <w:b/>
      <w:bCs/>
      <w:color w:val="1A2E4A"/>
      <w:sz w:val="32"/>
      <w:szCs w:val="32"/>
    </w:rPr>
  </w:style>
  <w:style w:type="paragraph" w:styleId="Heading1">
    <w:name w:val="Heading 1"/>
    <w:basedOn w:val="Normal"/>
    <w:next w:val="Normal"/>
    <w:qFormat/>
    <w:pPr>
      <w:spacing w:after="120" w:before="260"/>
      <w:outlineLvl w:val="0"/>
    </w:pPr>
    <w:rPr>
      <w:rFonts w:ascii="Calibri" w:cs="Calibri" w:eastAsia="Calibri" w:hAnsi="Calibri"/>
      <w:b/>
      <w:bCs/>
      <w:color w:val="0F766E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2026-06-10T09:56:21.558Z</dcterms:created>
  <dcterms:modified xsi:type="dcterms:W3CDTF">2026-06-10T09:56:21.564Z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